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5B" w:rsidRPr="0015339E" w:rsidRDefault="00631C5B">
      <w:pPr>
        <w:shd w:val="clear" w:color="auto" w:fill="FFFFFF"/>
        <w:jc w:val="right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>Лист технических данных</w:t>
      </w:r>
    </w:p>
    <w:p w:rsidR="00631C5B" w:rsidRPr="0015339E" w:rsidRDefault="00115CE3">
      <w:pPr>
        <w:shd w:val="clear" w:color="auto" w:fill="FFFFFF"/>
        <w:tabs>
          <w:tab w:val="right" w:pos="10755"/>
        </w:tabs>
        <w:rPr>
          <w:rFonts w:cs="Times New Roman"/>
          <w:szCs w:val="24"/>
        </w:rPr>
      </w:pPr>
      <w:r>
        <w:rPr>
          <w:rFonts w:cs="Times New Roman"/>
          <w:noProof/>
          <w:position w:val="-8"/>
          <w:szCs w:val="24"/>
        </w:rPr>
        <w:drawing>
          <wp:inline distT="0" distB="0" distL="0" distR="0">
            <wp:extent cx="2341245" cy="4362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1C5B" w:rsidRPr="0015339E">
        <w:rPr>
          <w:rFonts w:cs="Times New Roman"/>
          <w:b/>
          <w:sz w:val="48"/>
          <w:szCs w:val="24"/>
        </w:rPr>
        <w:tab/>
      </w:r>
      <w:r w:rsidR="00631C5B">
        <w:rPr>
          <w:rFonts w:cs="Times New Roman"/>
          <w:b/>
          <w:sz w:val="48"/>
          <w:szCs w:val="24"/>
          <w:lang w:val="en-US"/>
        </w:rPr>
        <w:t>LOCTITE</w:t>
      </w:r>
      <w:r w:rsidR="005E2E23" w:rsidRPr="0015339E">
        <w:rPr>
          <w:rFonts w:cs="Times New Roman"/>
          <w:b/>
          <w:sz w:val="48"/>
          <w:szCs w:val="24"/>
          <w:vertAlign w:val="superscript"/>
        </w:rPr>
        <w:t>®</w:t>
      </w:r>
      <w:r w:rsidR="00631C5B" w:rsidRPr="0015339E">
        <w:rPr>
          <w:rFonts w:cs="Times New Roman"/>
          <w:b/>
          <w:sz w:val="48"/>
          <w:szCs w:val="24"/>
        </w:rPr>
        <w:t xml:space="preserve"> 7012™</w:t>
      </w:r>
    </w:p>
    <w:p w:rsidR="00631C5B" w:rsidRPr="0015339E" w:rsidRDefault="00631C5B" w:rsidP="0005501D">
      <w:pPr>
        <w:pBdr>
          <w:bottom w:val="single" w:sz="8" w:space="4" w:color="auto"/>
        </w:pBdr>
        <w:shd w:val="clear" w:color="auto" w:fill="FFFFFF"/>
        <w:jc w:val="right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 xml:space="preserve">Сентябрь </w:t>
      </w:r>
      <w:r w:rsidRPr="0015339E">
        <w:rPr>
          <w:rFonts w:cs="Times New Roman"/>
          <w:szCs w:val="24"/>
        </w:rPr>
        <w:t xml:space="preserve">2010 </w:t>
      </w:r>
      <w:r>
        <w:rPr>
          <w:rFonts w:cs="Times New Roman"/>
          <w:szCs w:val="24"/>
        </w:rPr>
        <w:t>г</w:t>
      </w:r>
      <w:r w:rsidRPr="0015339E">
        <w:rPr>
          <w:rFonts w:cs="Times New Roman"/>
          <w:szCs w:val="24"/>
        </w:rPr>
        <w:t>.</w:t>
      </w:r>
    </w:p>
    <w:p w:rsidR="00631C5B" w:rsidRPr="0015339E" w:rsidRDefault="00631C5B">
      <w:pPr>
        <w:shd w:val="clear" w:color="auto" w:fill="FFFFFF"/>
        <w:rPr>
          <w:rFonts w:cs="Times New Roman"/>
          <w:b/>
          <w:sz w:val="16"/>
          <w:szCs w:val="24"/>
        </w:rPr>
        <w:sectPr w:rsidR="00631C5B" w:rsidRPr="0015339E" w:rsidSect="0005501D">
          <w:headerReference w:type="default" r:id="rId7"/>
          <w:footerReference w:type="default" r:id="rId8"/>
          <w:footerReference w:type="first" r:id="rId9"/>
          <w:pgSz w:w="11909" w:h="16834" w:code="9"/>
          <w:pgMar w:top="432" w:right="576" w:bottom="432" w:left="576" w:header="504" w:footer="504" w:gutter="0"/>
          <w:cols w:space="720"/>
          <w:noEndnote/>
          <w:titlePg/>
        </w:sectPr>
      </w:pPr>
    </w:p>
    <w:p w:rsidR="00631C5B" w:rsidRPr="0015339E" w:rsidRDefault="00631C5B" w:rsidP="0005501D">
      <w:pPr>
        <w:pStyle w:val="Style2"/>
        <w:spacing w:before="120"/>
        <w:rPr>
          <w:rFonts w:cs="Times New Roman"/>
          <w:bCs w:val="0"/>
          <w:szCs w:val="24"/>
          <w:lang w:val="ru-RU"/>
        </w:rPr>
      </w:pPr>
      <w:r>
        <w:rPr>
          <w:rFonts w:cs="Times New Roman"/>
          <w:bCs w:val="0"/>
          <w:szCs w:val="24"/>
          <w:lang w:val="ru-RU"/>
        </w:rPr>
        <w:lastRenderedPageBreak/>
        <w:t>ОПИСАНИЕ ПРОДУКТА</w:t>
      </w:r>
    </w:p>
    <w:p w:rsidR="00631C5B" w:rsidRPr="0015339E" w:rsidRDefault="00631C5B">
      <w:pPr>
        <w:spacing w:after="40"/>
        <w:rPr>
          <w:rFonts w:cs="Times New Roman"/>
          <w:szCs w:val="24"/>
        </w:rPr>
      </w:pPr>
      <w:r>
        <w:rPr>
          <w:rFonts w:cs="Times New Roman"/>
          <w:szCs w:val="24"/>
        </w:rPr>
        <w:t>Продукт</w:t>
      </w:r>
      <w:r w:rsidRPr="0015339E">
        <w:rPr>
          <w:rFonts w:cs="Times New Roman"/>
          <w:szCs w:val="24"/>
        </w:rPr>
        <w:t xml:space="preserve"> </w:t>
      </w:r>
      <w:hyperlink r:id="rId10" w:history="1">
        <w:r w:rsidRPr="00BE6EF0">
          <w:rPr>
            <w:rStyle w:val="a7"/>
            <w:rFonts w:cs="Times New Roman"/>
            <w:szCs w:val="24"/>
            <w:lang w:val="en-US"/>
          </w:rPr>
          <w:t>LOCTITE</w:t>
        </w:r>
        <w:r w:rsidR="005E2E23" w:rsidRPr="00BE6EF0">
          <w:rPr>
            <w:rStyle w:val="a7"/>
            <w:rFonts w:cs="Times New Roman"/>
            <w:szCs w:val="24"/>
            <w:vertAlign w:val="superscript"/>
          </w:rPr>
          <w:t>®</w:t>
        </w:r>
        <w:r w:rsidRPr="00BE6EF0">
          <w:rPr>
            <w:rStyle w:val="a7"/>
            <w:rFonts w:cs="Times New Roman"/>
            <w:szCs w:val="24"/>
          </w:rPr>
          <w:t xml:space="preserve"> 7012™</w:t>
        </w:r>
      </w:hyperlink>
      <w:bookmarkStart w:id="0" w:name="_GoBack"/>
      <w:bookmarkEnd w:id="0"/>
      <w:r w:rsidRPr="0015339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обладает следующими характе</w:t>
      </w:r>
      <w:r w:rsidR="0005501D" w:rsidRPr="0015339E">
        <w:rPr>
          <w:rFonts w:cs="Times New Roman"/>
          <w:szCs w:val="24"/>
        </w:rPr>
        <w:softHyphen/>
      </w:r>
      <w:r>
        <w:rPr>
          <w:rFonts w:cs="Times New Roman"/>
          <w:szCs w:val="24"/>
        </w:rPr>
        <w:t>ристиками</w:t>
      </w:r>
      <w:r w:rsidRPr="0015339E">
        <w:rPr>
          <w:rFonts w:cs="Times New Roman"/>
          <w:szCs w:val="24"/>
        </w:rPr>
        <w:t>:</w:t>
      </w:r>
    </w:p>
    <w:tbl>
      <w:tblPr>
        <w:tblW w:w="0" w:type="auto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6"/>
        <w:gridCol w:w="3124"/>
      </w:tblGrid>
      <w:tr w:rsidR="00631C5B">
        <w:tc>
          <w:tcPr>
            <w:tcW w:w="2006" w:type="dxa"/>
            <w:shd w:val="clear" w:color="auto" w:fill="E0E0E0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Технология</w:t>
            </w:r>
          </w:p>
        </w:tc>
        <w:tc>
          <w:tcPr>
            <w:tcW w:w="3124" w:type="dxa"/>
            <w:shd w:val="clear" w:color="auto" w:fill="E0E0E0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Водорастворимый очиститель</w:t>
            </w:r>
          </w:p>
        </w:tc>
      </w:tr>
      <w:tr w:rsidR="00631C5B">
        <w:tc>
          <w:tcPr>
            <w:tcW w:w="2006" w:type="dxa"/>
            <w:shd w:val="clear" w:color="auto" w:fill="FFFFFF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Тип химического соединения</w:t>
            </w:r>
          </w:p>
        </w:tc>
        <w:tc>
          <w:tcPr>
            <w:tcW w:w="3124" w:type="dxa"/>
            <w:shd w:val="clear" w:color="auto" w:fill="FFFFFF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Щелочной очиститель</w:t>
            </w:r>
          </w:p>
        </w:tc>
      </w:tr>
      <w:tr w:rsidR="00631C5B">
        <w:tc>
          <w:tcPr>
            <w:tcW w:w="2006" w:type="dxa"/>
            <w:shd w:val="clear" w:color="auto" w:fill="FFFFFF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Внешний вид</w:t>
            </w:r>
          </w:p>
        </w:tc>
        <w:tc>
          <w:tcPr>
            <w:tcW w:w="3124" w:type="dxa"/>
            <w:shd w:val="clear" w:color="auto" w:fill="FFFFFF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Светло-желтого цвета</w:t>
            </w:r>
          </w:p>
        </w:tc>
      </w:tr>
      <w:tr w:rsidR="00631C5B">
        <w:tc>
          <w:tcPr>
            <w:tcW w:w="2006" w:type="dxa"/>
            <w:shd w:val="clear" w:color="auto" w:fill="FFFFFF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Вязкость</w:t>
            </w:r>
          </w:p>
        </w:tc>
        <w:tc>
          <w:tcPr>
            <w:tcW w:w="3124" w:type="dxa"/>
            <w:shd w:val="clear" w:color="auto" w:fill="FFFFFF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низкая</w:t>
            </w:r>
          </w:p>
        </w:tc>
      </w:tr>
      <w:tr w:rsidR="00631C5B">
        <w:tc>
          <w:tcPr>
            <w:tcW w:w="2006" w:type="dxa"/>
            <w:shd w:val="clear" w:color="auto" w:fill="E0E0E0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Отверждение</w:t>
            </w:r>
          </w:p>
        </w:tc>
        <w:tc>
          <w:tcPr>
            <w:tcW w:w="3124" w:type="dxa"/>
            <w:shd w:val="clear" w:color="auto" w:fill="E0E0E0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Неприменимо</w:t>
            </w:r>
          </w:p>
        </w:tc>
      </w:tr>
      <w:tr w:rsidR="00631C5B">
        <w:tc>
          <w:tcPr>
            <w:tcW w:w="2006" w:type="dxa"/>
            <w:shd w:val="clear" w:color="auto" w:fill="E0E0E0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Применение</w:t>
            </w:r>
          </w:p>
        </w:tc>
        <w:tc>
          <w:tcPr>
            <w:tcW w:w="3124" w:type="dxa"/>
            <w:shd w:val="clear" w:color="auto" w:fill="E0E0E0"/>
          </w:tcPr>
          <w:p w:rsidR="00631C5B" w:rsidRDefault="00631C5B" w:rsidP="0005501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Очистка механических деталей, инструмента и оборудования</w:t>
            </w:r>
          </w:p>
        </w:tc>
      </w:tr>
    </w:tbl>
    <w:p w:rsidR="00631C5B" w:rsidRDefault="00631C5B">
      <w:pPr>
        <w:pStyle w:val="Style8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LOCTITE</w:t>
      </w:r>
      <w:r w:rsidR="005E2E23" w:rsidRPr="005E2E23">
        <w:rPr>
          <w:rFonts w:cs="Times New Roman"/>
          <w:szCs w:val="24"/>
          <w:vertAlign w:val="superscript"/>
          <w:lang w:val="ru-RU"/>
        </w:rPr>
        <w:t>®</w:t>
      </w:r>
      <w:r>
        <w:rPr>
          <w:rFonts w:cs="Times New Roman"/>
          <w:szCs w:val="24"/>
          <w:lang w:val="ru-RU"/>
        </w:rPr>
        <w:t xml:space="preserve"> 7012™ является универсальным очистителем для удаления загрязнений, консистентной смазки и масла. Он может применяться для очистки поверхностей различных материалов, таких как металлы, резина и окрашенные поверхности. LOCTITE </w:t>
      </w:r>
      <w:r w:rsidR="005E2E23" w:rsidRPr="005E2E23">
        <w:rPr>
          <w:rFonts w:cs="Times New Roman"/>
          <w:szCs w:val="24"/>
          <w:vertAlign w:val="superscript"/>
          <w:lang w:val="ru-RU"/>
        </w:rPr>
        <w:t>®</w:t>
      </w:r>
      <w:r>
        <w:rPr>
          <w:rFonts w:cs="Times New Roman"/>
          <w:szCs w:val="24"/>
          <w:lang w:val="ru-RU"/>
        </w:rPr>
        <w:t xml:space="preserve"> 7012™ обладает хорошими пенообразующими свойствами. Продукт пригоден для очистки ванн, используемых для нанесения покрытий методом погружения с применением ультразвука, под высоким давлением и с пенообразованием. Может наноситься в виде струи, а также кистью или иным ручным способом.</w:t>
      </w:r>
    </w:p>
    <w:p w:rsidR="00631C5B" w:rsidRPr="0015339E" w:rsidRDefault="00631C5B" w:rsidP="0005501D">
      <w:pPr>
        <w:pStyle w:val="Style2"/>
        <w:rPr>
          <w:sz w:val="24"/>
          <w:lang w:val="ru-RU"/>
        </w:rPr>
      </w:pPr>
      <w:r w:rsidRPr="0015339E">
        <w:rPr>
          <w:lang w:val="ru-RU"/>
        </w:rPr>
        <w:t>ТИПИЧНЫЕ СВОЙСТВА</w:t>
      </w:r>
    </w:p>
    <w:p w:rsidR="00631C5B" w:rsidRDefault="00631C5B">
      <w:pPr>
        <w:shd w:val="clear" w:color="auto" w:fill="FFFFFF"/>
        <w:tabs>
          <w:tab w:val="left" w:pos="3600"/>
        </w:tabs>
        <w:ind w:left="180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>Плотность при 20°C</w:t>
      </w:r>
      <w:r>
        <w:rPr>
          <w:rFonts w:cs="Times New Roman"/>
          <w:szCs w:val="24"/>
        </w:rPr>
        <w:tab/>
        <w:t>1,03</w:t>
      </w:r>
    </w:p>
    <w:p w:rsidR="00631C5B" w:rsidRDefault="00631C5B">
      <w:pPr>
        <w:shd w:val="clear" w:color="auto" w:fill="FFFFFF"/>
        <w:tabs>
          <w:tab w:val="left" w:pos="3600"/>
        </w:tabs>
        <w:ind w:left="180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>pH при10 г/л</w:t>
      </w:r>
      <w:r>
        <w:rPr>
          <w:rFonts w:cs="Times New Roman"/>
          <w:szCs w:val="24"/>
        </w:rPr>
        <w:tab/>
        <w:t>11,3</w:t>
      </w:r>
    </w:p>
    <w:p w:rsidR="00631C5B" w:rsidRDefault="00631C5B">
      <w:pPr>
        <w:shd w:val="clear" w:color="auto" w:fill="FFFFFF"/>
        <w:tabs>
          <w:tab w:val="left" w:pos="3600"/>
        </w:tabs>
        <w:ind w:left="180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>Температура воспламенения</w:t>
      </w:r>
      <w:r w:rsidR="00F24773">
        <w:rPr>
          <w:rFonts w:cs="Times New Roman"/>
          <w:szCs w:val="24"/>
        </w:rPr>
        <w:t xml:space="preserve"> — </w:t>
      </w:r>
      <w:r>
        <w:rPr>
          <w:rFonts w:cs="Times New Roman"/>
          <w:szCs w:val="24"/>
        </w:rPr>
        <w:t>см. Паспорт безопасности материала (MSDS)</w:t>
      </w:r>
    </w:p>
    <w:p w:rsidR="00631C5B" w:rsidRDefault="00631C5B">
      <w:pPr>
        <w:pStyle w:val="Style2"/>
        <w:spacing w:before="480"/>
        <w:rPr>
          <w:rFonts w:cs="Times New Roman"/>
          <w:bCs w:val="0"/>
          <w:sz w:val="24"/>
          <w:szCs w:val="24"/>
          <w:lang w:val="ru-RU"/>
        </w:rPr>
      </w:pPr>
      <w:r>
        <w:rPr>
          <w:rFonts w:cs="Times New Roman"/>
          <w:bCs w:val="0"/>
          <w:szCs w:val="24"/>
          <w:lang w:val="ru-RU"/>
        </w:rPr>
        <w:t>ОБЩАЯ ИНФОРМАЦИЯ</w:t>
      </w:r>
    </w:p>
    <w:p w:rsidR="00631C5B" w:rsidRDefault="00631C5B">
      <w:pPr>
        <w:pStyle w:val="Style1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Cs w:val="24"/>
          <w:lang w:val="ru-RU"/>
        </w:rPr>
        <w:t>Продукт не рекомендуется использовать в среде чистого кислорода и/или в богатых кислородом средах; также продукт не должен быть использован в качестве герметика для хлора или других сильных окислителей</w:t>
      </w:r>
    </w:p>
    <w:p w:rsidR="00631C5B" w:rsidRPr="0015339E" w:rsidRDefault="00631C5B">
      <w:pPr>
        <w:pStyle w:val="Style1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Cs w:val="24"/>
          <w:lang w:val="ru-RU"/>
        </w:rPr>
        <w:t>Информация по безопасному применению продукта содержится в паспорте безопасности материала</w:t>
      </w:r>
      <w:r w:rsidRPr="0015339E">
        <w:rPr>
          <w:rFonts w:cs="Times New Roman"/>
          <w:b/>
          <w:szCs w:val="24"/>
          <w:lang w:val="ru-RU"/>
        </w:rPr>
        <w:t xml:space="preserve"> (</w:t>
      </w:r>
      <w:r>
        <w:rPr>
          <w:rFonts w:cs="Times New Roman"/>
          <w:b/>
          <w:szCs w:val="24"/>
        </w:rPr>
        <w:t>MSDS</w:t>
      </w:r>
      <w:r w:rsidRPr="0015339E">
        <w:rPr>
          <w:rFonts w:cs="Times New Roman"/>
          <w:b/>
          <w:szCs w:val="24"/>
          <w:lang w:val="ru-RU"/>
        </w:rPr>
        <w:t>).</w:t>
      </w:r>
    </w:p>
    <w:p w:rsidR="00631C5B" w:rsidRDefault="00631C5B">
      <w:pPr>
        <w:pStyle w:val="Style2"/>
        <w:rPr>
          <w:rFonts w:cs="Times New Roman"/>
          <w:bCs w:val="0"/>
          <w:sz w:val="24"/>
          <w:szCs w:val="24"/>
          <w:lang w:val="ru-RU"/>
        </w:rPr>
      </w:pPr>
      <w:r>
        <w:rPr>
          <w:rFonts w:cs="Times New Roman"/>
          <w:bCs w:val="0"/>
          <w:szCs w:val="24"/>
          <w:lang w:val="ru-RU"/>
        </w:rPr>
        <w:t>Указания по применению:</w:t>
      </w:r>
    </w:p>
    <w:p w:rsidR="00631C5B" w:rsidRDefault="00631C5B">
      <w:pPr>
        <w:pStyle w:val="Style4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1.</w:t>
      </w:r>
      <w:r>
        <w:rPr>
          <w:rFonts w:cs="Times New Roman"/>
          <w:szCs w:val="24"/>
          <w:lang w:val="ru-RU"/>
        </w:rPr>
        <w:tab/>
        <w:t>LOCTITE</w:t>
      </w:r>
      <w:r w:rsidR="005E2E23" w:rsidRPr="005E2E23">
        <w:rPr>
          <w:rFonts w:cs="Times New Roman"/>
          <w:szCs w:val="24"/>
          <w:vertAlign w:val="superscript"/>
          <w:lang w:val="ru-RU"/>
        </w:rPr>
        <w:t>®</w:t>
      </w:r>
      <w:r>
        <w:rPr>
          <w:rFonts w:cs="Times New Roman"/>
          <w:szCs w:val="24"/>
          <w:lang w:val="ru-RU"/>
        </w:rPr>
        <w:t xml:space="preserve"> 7012™ наносится методом погружения, а также с помощью ветоши или кисти, методом распыления или с помощью генератора пены. Рекомендованная концентрация продукта для различных способов применения:</w:t>
      </w:r>
    </w:p>
    <w:p w:rsidR="00631C5B" w:rsidRPr="0015339E" w:rsidRDefault="00631C5B">
      <w:pPr>
        <w:pStyle w:val="Style5"/>
        <w:rPr>
          <w:rFonts w:cs="Times New Roman"/>
          <w:szCs w:val="24"/>
          <w:lang w:val="ru-RU"/>
        </w:rPr>
      </w:pPr>
      <w:r>
        <w:rPr>
          <w:rFonts w:cs="Times New Roman"/>
        </w:rPr>
        <w:sym w:font="Symbol" w:char="F0B7"/>
      </w:r>
      <w:r w:rsidRPr="0015339E"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>При нанесении методом погружения</w:t>
      </w:r>
      <w:r w:rsidRPr="0015339E">
        <w:rPr>
          <w:rFonts w:cs="Times New Roman"/>
          <w:szCs w:val="24"/>
          <w:lang w:val="ru-RU"/>
        </w:rPr>
        <w:t xml:space="preserve">: 10-20%, </w:t>
      </w:r>
      <w:r>
        <w:rPr>
          <w:rFonts w:cs="Times New Roman"/>
          <w:szCs w:val="24"/>
          <w:lang w:val="ru-RU"/>
        </w:rPr>
        <w:t>при температурах от</w:t>
      </w:r>
      <w:r w:rsidRPr="0015339E">
        <w:rPr>
          <w:rFonts w:cs="Times New Roman"/>
          <w:szCs w:val="24"/>
          <w:lang w:val="ru-RU"/>
        </w:rPr>
        <w:t xml:space="preserve"> 20 </w:t>
      </w:r>
      <w:r>
        <w:rPr>
          <w:rFonts w:cs="Times New Roman"/>
          <w:szCs w:val="24"/>
          <w:lang w:val="ru-RU"/>
        </w:rPr>
        <w:t xml:space="preserve">до </w:t>
      </w:r>
      <w:r w:rsidRPr="0015339E">
        <w:rPr>
          <w:rFonts w:cs="Times New Roman"/>
          <w:szCs w:val="24"/>
          <w:lang w:val="ru-RU"/>
        </w:rPr>
        <w:t>40°</w:t>
      </w:r>
      <w:r>
        <w:rPr>
          <w:rFonts w:cs="Times New Roman"/>
          <w:szCs w:val="24"/>
        </w:rPr>
        <w:t>C</w:t>
      </w:r>
      <w:r w:rsidRPr="0015339E">
        <w:rPr>
          <w:rFonts w:cs="Times New Roman"/>
          <w:szCs w:val="24"/>
          <w:lang w:val="ru-RU"/>
        </w:rPr>
        <w:t>.</w:t>
      </w:r>
    </w:p>
    <w:p w:rsidR="00631C5B" w:rsidRPr="0015339E" w:rsidRDefault="00631C5B">
      <w:pPr>
        <w:pStyle w:val="Style5"/>
        <w:rPr>
          <w:rFonts w:cs="Times New Roman"/>
          <w:szCs w:val="24"/>
          <w:lang w:val="ru-RU"/>
        </w:rPr>
      </w:pPr>
      <w:r>
        <w:rPr>
          <w:rFonts w:cs="Times New Roman"/>
        </w:rPr>
        <w:sym w:font="Symbol" w:char="F0B7"/>
      </w:r>
      <w:r w:rsidRPr="0015339E"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>При нанесении под давлением</w:t>
      </w:r>
      <w:r w:rsidRPr="0015339E">
        <w:rPr>
          <w:rFonts w:cs="Times New Roman"/>
          <w:szCs w:val="24"/>
          <w:lang w:val="ru-RU"/>
        </w:rPr>
        <w:t xml:space="preserve">: </w:t>
      </w:r>
      <w:r>
        <w:rPr>
          <w:rFonts w:cs="Times New Roman"/>
          <w:szCs w:val="24"/>
          <w:lang w:val="ru-RU"/>
        </w:rPr>
        <w:t>От</w:t>
      </w:r>
      <w:r w:rsidRPr="0015339E">
        <w:rPr>
          <w:rFonts w:cs="Times New Roman"/>
          <w:szCs w:val="24"/>
          <w:lang w:val="ru-RU"/>
        </w:rPr>
        <w:t xml:space="preserve"> 1-2% </w:t>
      </w:r>
      <w:r>
        <w:rPr>
          <w:rFonts w:cs="Times New Roman"/>
          <w:szCs w:val="24"/>
          <w:lang w:val="ru-RU"/>
        </w:rPr>
        <w:t>в распылительном наконечнике</w:t>
      </w:r>
      <w:r w:rsidRPr="0015339E">
        <w:rPr>
          <w:rFonts w:cs="Times New Roman"/>
          <w:szCs w:val="24"/>
          <w:lang w:val="ru-RU"/>
        </w:rPr>
        <w:t>.</w:t>
      </w:r>
    </w:p>
    <w:p w:rsidR="00631C5B" w:rsidRPr="0015339E" w:rsidRDefault="00631C5B">
      <w:pPr>
        <w:pStyle w:val="Style5"/>
        <w:rPr>
          <w:rFonts w:cs="Times New Roman"/>
          <w:szCs w:val="24"/>
          <w:lang w:val="ru-RU"/>
        </w:rPr>
      </w:pPr>
      <w:r>
        <w:rPr>
          <w:rFonts w:cs="Times New Roman"/>
        </w:rPr>
        <w:sym w:font="Symbol" w:char="F0B7"/>
      </w:r>
      <w:r w:rsidRPr="0015339E"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>При нанесении с помощью генератора пены</w:t>
      </w:r>
      <w:r w:rsidRPr="0015339E">
        <w:rPr>
          <w:rFonts w:cs="Times New Roman"/>
          <w:szCs w:val="24"/>
          <w:lang w:val="ru-RU"/>
        </w:rPr>
        <w:t xml:space="preserve">: </w:t>
      </w:r>
      <w:r>
        <w:rPr>
          <w:rFonts w:cs="Times New Roman"/>
          <w:szCs w:val="24"/>
          <w:lang w:val="ru-RU"/>
        </w:rPr>
        <w:t>От</w:t>
      </w:r>
      <w:r w:rsidRPr="0015339E">
        <w:rPr>
          <w:rFonts w:cs="Times New Roman"/>
          <w:szCs w:val="24"/>
          <w:lang w:val="ru-RU"/>
        </w:rPr>
        <w:t xml:space="preserve"> 20 </w:t>
      </w:r>
      <w:r>
        <w:rPr>
          <w:rFonts w:cs="Times New Roman"/>
          <w:szCs w:val="24"/>
          <w:lang w:val="ru-RU"/>
        </w:rPr>
        <w:t>до</w:t>
      </w:r>
      <w:r w:rsidRPr="0015339E">
        <w:rPr>
          <w:rFonts w:cs="Times New Roman"/>
          <w:szCs w:val="24"/>
          <w:lang w:val="ru-RU"/>
        </w:rPr>
        <w:t xml:space="preserve"> 50%.</w:t>
      </w:r>
    </w:p>
    <w:p w:rsidR="00631C5B" w:rsidRPr="0015339E" w:rsidRDefault="00631C5B">
      <w:pPr>
        <w:pStyle w:val="Style5"/>
        <w:rPr>
          <w:rFonts w:cs="Times New Roman"/>
          <w:szCs w:val="24"/>
          <w:lang w:val="ru-RU"/>
        </w:rPr>
      </w:pPr>
      <w:r>
        <w:rPr>
          <w:rFonts w:cs="Times New Roman"/>
        </w:rPr>
        <w:sym w:font="Symbol" w:char="F0B7"/>
      </w:r>
      <w:r w:rsidRPr="0015339E"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>При нанесении методом распыления</w:t>
      </w:r>
      <w:r w:rsidRPr="0015339E">
        <w:rPr>
          <w:rFonts w:cs="Times New Roman"/>
          <w:szCs w:val="24"/>
          <w:lang w:val="ru-RU"/>
        </w:rPr>
        <w:t xml:space="preserve">: </w:t>
      </w:r>
      <w:r>
        <w:rPr>
          <w:rFonts w:cs="Times New Roman"/>
          <w:szCs w:val="24"/>
          <w:lang w:val="ru-RU"/>
        </w:rPr>
        <w:t>От</w:t>
      </w:r>
      <w:r w:rsidRPr="0015339E">
        <w:rPr>
          <w:rFonts w:cs="Times New Roman"/>
          <w:szCs w:val="24"/>
          <w:lang w:val="ru-RU"/>
        </w:rPr>
        <w:t xml:space="preserve"> 20 </w:t>
      </w:r>
      <w:r>
        <w:rPr>
          <w:rFonts w:cs="Times New Roman"/>
          <w:szCs w:val="24"/>
          <w:lang w:val="ru-RU"/>
        </w:rPr>
        <w:t>до</w:t>
      </w:r>
      <w:r w:rsidRPr="0015339E">
        <w:rPr>
          <w:rFonts w:cs="Times New Roman"/>
          <w:szCs w:val="24"/>
          <w:lang w:val="ru-RU"/>
        </w:rPr>
        <w:t xml:space="preserve"> 30%.</w:t>
      </w:r>
    </w:p>
    <w:p w:rsidR="00631C5B" w:rsidRPr="0015339E" w:rsidRDefault="00631C5B">
      <w:pPr>
        <w:pStyle w:val="Style5"/>
        <w:rPr>
          <w:rFonts w:cs="Times New Roman"/>
          <w:szCs w:val="24"/>
          <w:lang w:val="ru-RU"/>
        </w:rPr>
      </w:pPr>
      <w:r>
        <w:rPr>
          <w:rFonts w:cs="Times New Roman"/>
        </w:rPr>
        <w:sym w:font="Symbol" w:char="F0B7"/>
      </w:r>
      <w:r w:rsidRPr="0015339E"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>При нанесении кистью</w:t>
      </w:r>
      <w:r w:rsidRPr="0015339E">
        <w:rPr>
          <w:rFonts w:cs="Times New Roman"/>
          <w:szCs w:val="24"/>
          <w:lang w:val="ru-RU"/>
        </w:rPr>
        <w:t xml:space="preserve">: </w:t>
      </w:r>
      <w:r>
        <w:rPr>
          <w:rFonts w:cs="Times New Roman"/>
          <w:szCs w:val="24"/>
          <w:lang w:val="ru-RU"/>
        </w:rPr>
        <w:t>От</w:t>
      </w:r>
      <w:r w:rsidRPr="0015339E">
        <w:rPr>
          <w:rFonts w:cs="Times New Roman"/>
          <w:szCs w:val="24"/>
          <w:lang w:val="ru-RU"/>
        </w:rPr>
        <w:t xml:space="preserve"> 2 </w:t>
      </w:r>
      <w:r>
        <w:rPr>
          <w:rFonts w:cs="Times New Roman"/>
          <w:szCs w:val="24"/>
          <w:lang w:val="ru-RU"/>
        </w:rPr>
        <w:t>до</w:t>
      </w:r>
      <w:r w:rsidRPr="0015339E">
        <w:rPr>
          <w:rFonts w:cs="Times New Roman"/>
          <w:szCs w:val="24"/>
          <w:lang w:val="ru-RU"/>
        </w:rPr>
        <w:t xml:space="preserve"> 5%.</w:t>
      </w:r>
    </w:p>
    <w:p w:rsidR="00631C5B" w:rsidRPr="0015339E" w:rsidRDefault="00631C5B">
      <w:pPr>
        <w:pStyle w:val="Style5"/>
        <w:rPr>
          <w:rFonts w:cs="Times New Roman"/>
          <w:szCs w:val="24"/>
          <w:lang w:val="ru-RU"/>
        </w:rPr>
      </w:pPr>
      <w:r>
        <w:rPr>
          <w:rFonts w:cs="Times New Roman"/>
        </w:rPr>
        <w:sym w:font="Symbol" w:char="F0B7"/>
      </w:r>
      <w:r w:rsidRPr="0015339E"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>При другом способе нанесения вручную</w:t>
      </w:r>
      <w:r w:rsidRPr="0015339E">
        <w:rPr>
          <w:rFonts w:cs="Times New Roman"/>
          <w:szCs w:val="24"/>
          <w:lang w:val="ru-RU"/>
        </w:rPr>
        <w:t xml:space="preserve">: </w:t>
      </w:r>
      <w:r>
        <w:rPr>
          <w:rFonts w:cs="Times New Roman"/>
          <w:szCs w:val="24"/>
          <w:lang w:val="ru-RU"/>
        </w:rPr>
        <w:t>От</w:t>
      </w:r>
      <w:r w:rsidRPr="0015339E">
        <w:rPr>
          <w:rFonts w:cs="Times New Roman"/>
          <w:szCs w:val="24"/>
          <w:lang w:val="ru-RU"/>
        </w:rPr>
        <w:t xml:space="preserve"> 2 </w:t>
      </w:r>
      <w:r>
        <w:rPr>
          <w:rFonts w:cs="Times New Roman"/>
          <w:szCs w:val="24"/>
          <w:lang w:val="ru-RU"/>
        </w:rPr>
        <w:t>до</w:t>
      </w:r>
      <w:r w:rsidRPr="0015339E">
        <w:rPr>
          <w:rFonts w:cs="Times New Roman"/>
          <w:szCs w:val="24"/>
          <w:lang w:val="ru-RU"/>
        </w:rPr>
        <w:t xml:space="preserve"> 10%.</w:t>
      </w:r>
    </w:p>
    <w:p w:rsidR="00631C5B" w:rsidRPr="0015339E" w:rsidRDefault="00631C5B">
      <w:pPr>
        <w:pStyle w:val="Style6"/>
        <w:rPr>
          <w:rFonts w:cs="Times New Roman"/>
          <w:szCs w:val="24"/>
          <w:lang w:val="ru-RU"/>
        </w:rPr>
      </w:pPr>
      <w:r w:rsidRPr="0015339E">
        <w:rPr>
          <w:rFonts w:cs="Times New Roman"/>
          <w:szCs w:val="24"/>
          <w:lang w:val="ru-RU"/>
        </w:rPr>
        <w:t>2.</w:t>
      </w:r>
      <w:r w:rsidRPr="0015339E"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>За дополнительной информацией и разъяснениями обращайтесь в ближайший центр технического обслуживания</w:t>
      </w:r>
      <w:r w:rsidRPr="0015339E"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</w:rPr>
        <w:t>Henkel</w:t>
      </w:r>
      <w:r w:rsidR="005E2E23" w:rsidRPr="0015339E">
        <w:rPr>
          <w:rFonts w:cs="Times New Roman"/>
          <w:szCs w:val="24"/>
          <w:vertAlign w:val="superscript"/>
          <w:lang w:val="ru-RU"/>
        </w:rPr>
        <w:t>®</w:t>
      </w:r>
      <w:r w:rsidRPr="0015339E">
        <w:rPr>
          <w:rFonts w:cs="Times New Roman"/>
          <w:szCs w:val="24"/>
          <w:lang w:val="ru-RU"/>
        </w:rPr>
        <w:t>.</w:t>
      </w:r>
    </w:p>
    <w:p w:rsidR="00631C5B" w:rsidRDefault="00631C5B" w:rsidP="0005501D">
      <w:pPr>
        <w:pStyle w:val="Style2"/>
        <w:spacing w:before="120"/>
        <w:jc w:val="left"/>
        <w:rPr>
          <w:rFonts w:cs="Times New Roman"/>
          <w:bCs w:val="0"/>
          <w:szCs w:val="24"/>
          <w:lang w:val="ru-RU"/>
        </w:rPr>
      </w:pPr>
      <w:r>
        <w:rPr>
          <w:rFonts w:cs="Times New Roman"/>
          <w:bCs w:val="0"/>
          <w:szCs w:val="24"/>
          <w:lang w:val="ru-RU"/>
        </w:rPr>
        <w:t>Не относится к эксплуатационным характеристикам продукта</w:t>
      </w:r>
    </w:p>
    <w:p w:rsidR="00631C5B" w:rsidRDefault="00631C5B">
      <w:pPr>
        <w:pStyle w:val="Style1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Сведения, содержащиеся в данном документе, могут рас</w:t>
      </w:r>
      <w:r w:rsidR="0005501D" w:rsidRPr="0015339E">
        <w:rPr>
          <w:rFonts w:cs="Times New Roman"/>
          <w:szCs w:val="24"/>
          <w:lang w:val="ru-RU"/>
        </w:rPr>
        <w:softHyphen/>
      </w:r>
      <w:r>
        <w:rPr>
          <w:rFonts w:cs="Times New Roman"/>
          <w:szCs w:val="24"/>
          <w:lang w:val="ru-RU"/>
        </w:rPr>
        <w:t>сматриваться только в качестве справочной информации. Рекомендации по применению вышеперечисленной про</w:t>
      </w:r>
      <w:r w:rsidR="0005501D" w:rsidRPr="0015339E">
        <w:rPr>
          <w:rFonts w:cs="Times New Roman"/>
          <w:szCs w:val="24"/>
          <w:lang w:val="ru-RU"/>
        </w:rPr>
        <w:softHyphen/>
      </w:r>
      <w:r>
        <w:rPr>
          <w:rFonts w:cs="Times New Roman"/>
          <w:szCs w:val="24"/>
          <w:lang w:val="ru-RU"/>
        </w:rPr>
        <w:t>дук</w:t>
      </w:r>
      <w:r w:rsidR="0005501D" w:rsidRPr="0015339E">
        <w:rPr>
          <w:rFonts w:cs="Times New Roman"/>
          <w:szCs w:val="24"/>
          <w:lang w:val="ru-RU"/>
        </w:rPr>
        <w:softHyphen/>
      </w:r>
      <w:r>
        <w:rPr>
          <w:rFonts w:cs="Times New Roman"/>
          <w:szCs w:val="24"/>
          <w:lang w:val="ru-RU"/>
        </w:rPr>
        <w:t>ции и информацию о ее технических характеристиках вы мо</w:t>
      </w:r>
      <w:r w:rsidR="0005501D" w:rsidRPr="0015339E">
        <w:rPr>
          <w:rFonts w:cs="Times New Roman"/>
          <w:szCs w:val="24"/>
          <w:lang w:val="ru-RU"/>
        </w:rPr>
        <w:softHyphen/>
      </w:r>
      <w:r>
        <w:rPr>
          <w:rFonts w:cs="Times New Roman"/>
          <w:szCs w:val="24"/>
          <w:lang w:val="ru-RU"/>
        </w:rPr>
        <w:lastRenderedPageBreak/>
        <w:t>жете получить, обратившись в региональный отдел тех</w:t>
      </w:r>
      <w:r w:rsidR="0005501D" w:rsidRPr="0015339E">
        <w:rPr>
          <w:rFonts w:cs="Times New Roman"/>
          <w:szCs w:val="24"/>
          <w:lang w:val="ru-RU"/>
        </w:rPr>
        <w:softHyphen/>
      </w:r>
      <w:r>
        <w:rPr>
          <w:rFonts w:cs="Times New Roman"/>
          <w:szCs w:val="24"/>
          <w:lang w:val="ru-RU"/>
        </w:rPr>
        <w:t>ни</w:t>
      </w:r>
      <w:r w:rsidR="0005501D" w:rsidRPr="0015339E">
        <w:rPr>
          <w:rFonts w:cs="Times New Roman"/>
          <w:szCs w:val="24"/>
          <w:lang w:val="ru-RU"/>
        </w:rPr>
        <w:softHyphen/>
      </w:r>
      <w:r>
        <w:rPr>
          <w:rFonts w:cs="Times New Roman"/>
          <w:szCs w:val="24"/>
          <w:lang w:val="ru-RU"/>
        </w:rPr>
        <w:t>ческого контроля.</w:t>
      </w:r>
    </w:p>
    <w:p w:rsidR="00631C5B" w:rsidRDefault="00631C5B" w:rsidP="0005501D">
      <w:pPr>
        <w:pStyle w:val="Style2"/>
        <w:spacing w:before="120"/>
        <w:rPr>
          <w:rFonts w:cs="Times New Roman"/>
          <w:bCs w:val="0"/>
          <w:sz w:val="24"/>
          <w:szCs w:val="24"/>
          <w:lang w:val="ru-RU"/>
        </w:rPr>
      </w:pPr>
      <w:r w:rsidRPr="0015339E">
        <w:rPr>
          <w:lang w:val="ru-RU"/>
        </w:rPr>
        <w:t>Хранение</w:t>
      </w:r>
    </w:p>
    <w:p w:rsidR="00631C5B" w:rsidRPr="0015339E" w:rsidRDefault="00631C5B" w:rsidP="0005501D">
      <w:pPr>
        <w:pStyle w:val="Style1"/>
        <w:spacing w:after="0"/>
        <w:rPr>
          <w:lang w:val="ru-RU"/>
        </w:rPr>
      </w:pPr>
      <w:r w:rsidRPr="0015339E">
        <w:rPr>
          <w:lang w:val="ru-RU"/>
        </w:rPr>
        <w:t>Хранить продукт в закрытой упаковке в сухом месте. Требо</w:t>
      </w:r>
      <w:r w:rsidR="0005501D" w:rsidRPr="0015339E">
        <w:rPr>
          <w:lang w:val="ru-RU"/>
        </w:rPr>
        <w:softHyphen/>
      </w:r>
      <w:r w:rsidRPr="0015339E">
        <w:rPr>
          <w:lang w:val="ru-RU"/>
        </w:rPr>
        <w:t>вания к условиям хранения продукта могут быть указаны на этикетке упаковки.</w:t>
      </w:r>
    </w:p>
    <w:p w:rsidR="00631C5B" w:rsidRPr="0005501D" w:rsidRDefault="00631C5B">
      <w:pPr>
        <w:pStyle w:val="Style1"/>
        <w:rPr>
          <w:rFonts w:cs="Times New Roman"/>
          <w:spacing w:val="-2"/>
          <w:szCs w:val="24"/>
          <w:lang w:val="ru-RU"/>
        </w:rPr>
      </w:pPr>
      <w:r w:rsidRPr="0005501D">
        <w:rPr>
          <w:rFonts w:cs="Times New Roman"/>
          <w:b/>
          <w:spacing w:val="-2"/>
          <w:szCs w:val="24"/>
          <w:lang w:val="ru-RU"/>
        </w:rPr>
        <w:t xml:space="preserve">Оптимальные условия для хранения: Температура от 8°C до 21°C. При температуре ниже 8°C или выше 28°C может произойти изменение свойств продукта. </w:t>
      </w:r>
      <w:r w:rsidRPr="0005501D">
        <w:rPr>
          <w:rFonts w:cs="Times New Roman"/>
          <w:spacing w:val="-2"/>
          <w:szCs w:val="24"/>
          <w:lang w:val="ru-RU"/>
        </w:rPr>
        <w:t>Извлеченный из упаковки продукт может быть загрязнен в процессе ис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поль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зо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вания. Запрещено выливать неиспользованный продукт об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ратно в упаковку. Корпорация Henkel не несет от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вет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ст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вен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нос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ти за качество загрязненного продукта или продукта, который хранился в условиях, отличающихся от указанных выше. Для получения дополнительной информации необходимо об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ра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щаться в ближайший центр технической поддержки или к представителю службы поддержки клиентов.</w:t>
      </w:r>
    </w:p>
    <w:p w:rsidR="00631C5B" w:rsidRPr="0015339E" w:rsidRDefault="00631C5B" w:rsidP="0005501D">
      <w:pPr>
        <w:pStyle w:val="Style2"/>
        <w:spacing w:before="120"/>
        <w:rPr>
          <w:sz w:val="24"/>
          <w:lang w:val="ru-RU"/>
        </w:rPr>
      </w:pPr>
      <w:r w:rsidRPr="0015339E">
        <w:rPr>
          <w:lang w:val="ru-RU"/>
        </w:rPr>
        <w:t>Перевод величин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(°C</w:t>
      </w:r>
      <w:r w:rsidR="0005501D" w:rsidRPr="00784ACF">
        <w:rPr>
          <w:rFonts w:cs="Times New Roman"/>
          <w:szCs w:val="24"/>
        </w:rPr>
        <w:t> </w:t>
      </w:r>
      <w:r w:rsidR="0005501D" w:rsidRPr="00784ACF">
        <w:rPr>
          <w:rFonts w:cs="Times New Roman"/>
          <w:szCs w:val="24"/>
        </w:rPr>
        <w:sym w:font="Symbol" w:char="F0B4"/>
      </w:r>
      <w:r w:rsidR="0005501D" w:rsidRPr="00784AC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1,8) + 32 = °F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кВ/</w:t>
      </w:r>
      <w:proofErr w:type="gramStart"/>
      <w:r>
        <w:rPr>
          <w:rFonts w:cs="Times New Roman"/>
          <w:szCs w:val="24"/>
        </w:rPr>
        <w:t>мм</w:t>
      </w:r>
      <w:r w:rsidR="0005501D" w:rsidRPr="00784ACF">
        <w:rPr>
          <w:rFonts w:cs="Times New Roman"/>
          <w:szCs w:val="24"/>
        </w:rPr>
        <w:t> </w:t>
      </w:r>
      <w:r w:rsidR="0005501D" w:rsidRPr="00784ACF">
        <w:rPr>
          <w:rFonts w:cs="Times New Roman"/>
          <w:szCs w:val="24"/>
        </w:rPr>
        <w:sym w:font="Symbol" w:char="F0B4"/>
      </w:r>
      <w:r w:rsidR="0005501D" w:rsidRPr="00784AC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25</w:t>
      </w:r>
      <w:proofErr w:type="gramEnd"/>
      <w:r>
        <w:rPr>
          <w:rFonts w:cs="Times New Roman"/>
          <w:szCs w:val="24"/>
        </w:rPr>
        <w:t>,4 = В/мил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мм/25,4 = дюйм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мкм/25,4 = мил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Н</w:t>
      </w:r>
      <w:r w:rsidR="0005501D" w:rsidRPr="00784ACF">
        <w:rPr>
          <w:rFonts w:cs="Times New Roman"/>
          <w:szCs w:val="24"/>
        </w:rPr>
        <w:t> </w:t>
      </w:r>
      <w:r w:rsidR="0005501D" w:rsidRPr="00784ACF">
        <w:rPr>
          <w:rFonts w:cs="Times New Roman"/>
          <w:szCs w:val="24"/>
        </w:rPr>
        <w:sym w:font="Symbol" w:char="F0B4"/>
      </w:r>
      <w:r w:rsidR="0005501D" w:rsidRPr="00784AC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0,225 = фунт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Н/мм</w:t>
      </w:r>
      <w:r w:rsidR="0005501D" w:rsidRPr="00784ACF">
        <w:rPr>
          <w:rFonts w:cs="Times New Roman"/>
          <w:szCs w:val="24"/>
        </w:rPr>
        <w:t> </w:t>
      </w:r>
      <w:r w:rsidR="0005501D" w:rsidRPr="00784ACF">
        <w:rPr>
          <w:rFonts w:cs="Times New Roman"/>
          <w:szCs w:val="24"/>
        </w:rPr>
        <w:sym w:font="Symbol" w:char="F0B4"/>
      </w:r>
      <w:r w:rsidR="0005501D" w:rsidRPr="00784AC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5,71 = фунт/дюйм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Н/мм</w:t>
      </w:r>
      <w:proofErr w:type="gramStart"/>
      <w:r>
        <w:rPr>
          <w:rFonts w:cs="Times New Roman"/>
          <w:szCs w:val="24"/>
        </w:rPr>
        <w:t>2</w:t>
      </w:r>
      <w:r w:rsidR="0005501D" w:rsidRPr="00784ACF">
        <w:rPr>
          <w:rFonts w:cs="Times New Roman"/>
          <w:szCs w:val="24"/>
        </w:rPr>
        <w:t> </w:t>
      </w:r>
      <w:r w:rsidR="0005501D" w:rsidRPr="00784ACF">
        <w:rPr>
          <w:rFonts w:cs="Times New Roman"/>
          <w:szCs w:val="24"/>
        </w:rPr>
        <w:sym w:font="Symbol" w:char="F0B4"/>
      </w:r>
      <w:r w:rsidR="0005501D" w:rsidRPr="00784AC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145</w:t>
      </w:r>
      <w:proofErr w:type="gramEnd"/>
      <w:r>
        <w:rPr>
          <w:rFonts w:cs="Times New Roman"/>
          <w:szCs w:val="24"/>
        </w:rPr>
        <w:t xml:space="preserve"> = фунт/кв. дюйм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МПа</w:t>
      </w:r>
      <w:r w:rsidR="0005501D" w:rsidRPr="00784ACF">
        <w:rPr>
          <w:rFonts w:cs="Times New Roman"/>
          <w:szCs w:val="24"/>
        </w:rPr>
        <w:t> </w:t>
      </w:r>
      <w:r w:rsidR="0005501D" w:rsidRPr="00784ACF">
        <w:rPr>
          <w:rFonts w:cs="Times New Roman"/>
          <w:szCs w:val="24"/>
        </w:rPr>
        <w:sym w:font="Symbol" w:char="F0B4"/>
      </w:r>
      <w:r w:rsidR="0005501D" w:rsidRPr="00784AC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145 = фунт/кв. дюйм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Н·м</w:t>
      </w:r>
      <w:r w:rsidR="0005501D" w:rsidRPr="00784ACF">
        <w:rPr>
          <w:rFonts w:cs="Times New Roman"/>
          <w:szCs w:val="24"/>
        </w:rPr>
        <w:t> </w:t>
      </w:r>
      <w:r w:rsidR="0005501D" w:rsidRPr="00784ACF">
        <w:rPr>
          <w:rFonts w:cs="Times New Roman"/>
          <w:szCs w:val="24"/>
        </w:rPr>
        <w:sym w:font="Symbol" w:char="F0B4"/>
      </w:r>
      <w:r w:rsidR="0005501D" w:rsidRPr="00784AC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8,851 = фунт·дюйм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Н·м</w:t>
      </w:r>
      <w:r w:rsidR="0005501D" w:rsidRPr="00784ACF">
        <w:rPr>
          <w:rFonts w:cs="Times New Roman"/>
          <w:szCs w:val="24"/>
        </w:rPr>
        <w:t> </w:t>
      </w:r>
      <w:r w:rsidR="0005501D" w:rsidRPr="00784ACF">
        <w:rPr>
          <w:rFonts w:cs="Times New Roman"/>
          <w:szCs w:val="24"/>
        </w:rPr>
        <w:sym w:font="Symbol" w:char="F0B4"/>
      </w:r>
      <w:r w:rsidR="0005501D" w:rsidRPr="00784AC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0,738 = фунт·дюйм</w:t>
      </w:r>
    </w:p>
    <w:p w:rsidR="00631C5B" w:rsidRDefault="00631C5B" w:rsidP="0005501D">
      <w:pPr>
        <w:shd w:val="clear" w:color="auto" w:fill="FFFFFF"/>
        <w:spacing w:line="23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Н·мм</w:t>
      </w:r>
      <w:r w:rsidR="0005501D" w:rsidRPr="00784ACF">
        <w:rPr>
          <w:rFonts w:cs="Times New Roman"/>
          <w:szCs w:val="24"/>
        </w:rPr>
        <w:t> </w:t>
      </w:r>
      <w:r w:rsidR="0005501D" w:rsidRPr="00784ACF">
        <w:rPr>
          <w:rFonts w:cs="Times New Roman"/>
          <w:szCs w:val="24"/>
        </w:rPr>
        <w:sym w:font="Symbol" w:char="F0B4"/>
      </w:r>
      <w:r w:rsidR="0005501D" w:rsidRPr="00784AC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0,142 = унция·дюйм</w:t>
      </w:r>
    </w:p>
    <w:p w:rsidR="00631C5B" w:rsidRDefault="00631C5B">
      <w:pPr>
        <w:shd w:val="clear" w:color="auto" w:fill="FFFFFF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>мПа·с = сП</w:t>
      </w:r>
    </w:p>
    <w:p w:rsidR="00631C5B" w:rsidRPr="0015339E" w:rsidRDefault="00631C5B" w:rsidP="0005501D">
      <w:pPr>
        <w:pStyle w:val="Style2"/>
        <w:spacing w:before="120"/>
        <w:rPr>
          <w:sz w:val="24"/>
          <w:lang w:val="ru-RU"/>
        </w:rPr>
      </w:pPr>
      <w:r w:rsidRPr="0015339E">
        <w:rPr>
          <w:lang w:val="ru-RU"/>
        </w:rPr>
        <w:t>Примечание</w:t>
      </w:r>
    </w:p>
    <w:p w:rsidR="00631C5B" w:rsidRPr="0005501D" w:rsidRDefault="00631C5B">
      <w:pPr>
        <w:pStyle w:val="Style1"/>
        <w:rPr>
          <w:rFonts w:cs="Times New Roman"/>
          <w:spacing w:val="-2"/>
          <w:szCs w:val="24"/>
          <w:lang w:val="ru-RU"/>
        </w:rPr>
      </w:pPr>
      <w:r w:rsidRPr="0005501D">
        <w:rPr>
          <w:rFonts w:cs="Times New Roman"/>
          <w:spacing w:val="-2"/>
          <w:szCs w:val="24"/>
          <w:lang w:val="ru-RU"/>
        </w:rPr>
        <w:t>Содержащиеся в документе данные носят исключительно ин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формативный характер, однако соответствуют реальным свойствам продукта. Производитель не несет ответ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ст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вен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нос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ти за результаты испытаний, полученных другими ор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га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ни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за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циями, поскольку не может контролировать проведение таких испытаний. При использовании продукта всю от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вет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ст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венность за его применение по назначению и методы на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не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сения, а так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же за безопасность труда персонала и защиту имущества от повреждения несет потребитель. В свете вы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 xml:space="preserve">шесказанного, </w:t>
      </w:r>
      <w:r w:rsidRPr="0005501D">
        <w:rPr>
          <w:rFonts w:cs="Times New Roman"/>
          <w:b/>
          <w:spacing w:val="-2"/>
          <w:szCs w:val="24"/>
          <w:lang w:val="ru-RU"/>
        </w:rPr>
        <w:t>корпорация Henkel отклоняет все рек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>ла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>ма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>ции по несению гарантийных обязательств, как вы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>ра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>женные, так и пред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>полагаемые, включая гарантийные обя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>зательства по то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>варности или пригодности продукта к конкретному при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>менению, возникающие из факта продажи или ис</w:t>
      </w:r>
      <w:r w:rsidR="0005501D" w:rsidRPr="0015339E">
        <w:rPr>
          <w:rFonts w:cs="Times New Roman"/>
          <w:b/>
          <w:spacing w:val="-2"/>
          <w:szCs w:val="24"/>
          <w:lang w:val="ru-RU"/>
        </w:rPr>
        <w:softHyphen/>
      </w:r>
      <w:r w:rsidRPr="0005501D">
        <w:rPr>
          <w:rFonts w:cs="Times New Roman"/>
          <w:b/>
          <w:spacing w:val="-2"/>
          <w:szCs w:val="24"/>
          <w:lang w:val="ru-RU"/>
        </w:rPr>
        <w:t xml:space="preserve">пользования продукции корпорации Henkel. Корпорация Henkel снимает с себя ответственность за возможный ущерб, как логически вытекающий, так и случайный, включая потерю прибыли. </w:t>
      </w:r>
      <w:r w:rsidRPr="0005501D">
        <w:rPr>
          <w:rFonts w:cs="Times New Roman"/>
          <w:spacing w:val="-2"/>
          <w:szCs w:val="24"/>
          <w:lang w:val="ru-RU"/>
        </w:rPr>
        <w:t>Рассматриваемые в документе процессы или составы не следует интерпретировать в ка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чест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ве основания для приоритета над патентами, которыми об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ла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дают другие производители, а также в качестве лицензии, по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лученной по одному из патентов, которыми обладает кор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по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 xml:space="preserve">рация </w:t>
      </w:r>
      <w:proofErr w:type="gramStart"/>
      <w:r w:rsidRPr="0005501D">
        <w:rPr>
          <w:rFonts w:cs="Times New Roman"/>
          <w:spacing w:val="-2"/>
          <w:szCs w:val="24"/>
          <w:lang w:val="ru-RU"/>
        </w:rPr>
        <w:t>Henkel</w:t>
      </w:r>
      <w:proofErr w:type="gramEnd"/>
      <w:r w:rsidRPr="0005501D">
        <w:rPr>
          <w:rFonts w:cs="Times New Roman"/>
          <w:spacing w:val="-2"/>
          <w:szCs w:val="24"/>
          <w:lang w:val="ru-RU"/>
        </w:rPr>
        <w:t xml:space="preserve"> и которая может включать подобные процессы или составы. Корпорация Henkel рекомендует потенциальным по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купателям перед внедрением какого-либо продукта в про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изводственный процесс проводить предварительные ис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пы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та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ния, руководствуясь приведенными в настоящем документе дан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ными в качестве ориентира. Данный продукт может быть за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щищен одним или более американским или иным ино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стран</w:t>
      </w:r>
      <w:r w:rsidR="0005501D" w:rsidRPr="0015339E">
        <w:rPr>
          <w:rFonts w:cs="Times New Roman"/>
          <w:spacing w:val="-2"/>
          <w:szCs w:val="24"/>
          <w:lang w:val="ru-RU"/>
        </w:rPr>
        <w:softHyphen/>
      </w:r>
      <w:r w:rsidRPr="0005501D">
        <w:rPr>
          <w:rFonts w:cs="Times New Roman"/>
          <w:spacing w:val="-2"/>
          <w:szCs w:val="24"/>
          <w:lang w:val="ru-RU"/>
        </w:rPr>
        <w:t>ным патентом либо заявками на патент.</w:t>
      </w:r>
    </w:p>
    <w:p w:rsidR="00631C5B" w:rsidRDefault="00631C5B">
      <w:pPr>
        <w:pStyle w:val="Style2"/>
        <w:rPr>
          <w:rFonts w:cs="Times New Roman"/>
          <w:bCs w:val="0"/>
          <w:szCs w:val="24"/>
          <w:lang w:val="ru-RU"/>
        </w:rPr>
      </w:pPr>
      <w:r>
        <w:rPr>
          <w:rFonts w:cs="Times New Roman"/>
          <w:bCs w:val="0"/>
          <w:szCs w:val="24"/>
          <w:lang w:val="ru-RU"/>
        </w:rPr>
        <w:t>Использование товарных знаков</w:t>
      </w:r>
    </w:p>
    <w:p w:rsidR="00631C5B" w:rsidRDefault="00631C5B" w:rsidP="00115CE3">
      <w:pPr>
        <w:pStyle w:val="Style1"/>
        <w:rPr>
          <w:rFonts w:cs="Times New Roman"/>
          <w:sz w:val="24"/>
          <w:szCs w:val="24"/>
          <w:lang w:val="ru-RU"/>
        </w:rPr>
      </w:pPr>
      <w:r>
        <w:rPr>
          <w:rFonts w:cs="Times New Roman"/>
          <w:szCs w:val="24"/>
          <w:lang w:val="ru-RU"/>
        </w:rPr>
        <w:t>Если не указано иное, то все товарные знаки, упомянутые в</w:t>
      </w:r>
      <w:r w:rsidR="0005501D">
        <w:rPr>
          <w:rFonts w:cs="Times New Roman"/>
          <w:szCs w:val="24"/>
        </w:rPr>
        <w:t> </w:t>
      </w:r>
      <w:r>
        <w:rPr>
          <w:rFonts w:cs="Times New Roman"/>
          <w:szCs w:val="24"/>
          <w:lang w:val="ru-RU"/>
        </w:rPr>
        <w:t xml:space="preserve">документе, являются товарными знаками корпорации Henkel в США и в любом другом государстве. Знак </w:t>
      </w:r>
      <w:r w:rsidR="005E2E23" w:rsidRPr="005E2E23">
        <w:rPr>
          <w:rFonts w:cs="Times New Roman"/>
          <w:szCs w:val="24"/>
          <w:lang w:val="ru-RU"/>
        </w:rPr>
        <w:t>®</w:t>
      </w:r>
      <w:r>
        <w:rPr>
          <w:rFonts w:cs="Times New Roman"/>
          <w:szCs w:val="24"/>
          <w:lang w:val="ru-RU"/>
        </w:rPr>
        <w:t xml:space="preserve"> </w:t>
      </w:r>
    </w:p>
    <w:sectPr w:rsidR="00631C5B" w:rsidSect="0005501D">
      <w:type w:val="continuous"/>
      <w:pgSz w:w="11909" w:h="16834" w:code="9"/>
      <w:pgMar w:top="432" w:right="576" w:bottom="432" w:left="576" w:header="576" w:footer="576" w:gutter="0"/>
      <w:cols w:num="2" w:space="432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29" w:rsidRDefault="001E6329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1E6329" w:rsidRDefault="001E6329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82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594"/>
      <w:gridCol w:w="3594"/>
      <w:gridCol w:w="3594"/>
    </w:tblGrid>
    <w:tr w:rsidR="00631C5B">
      <w:tc>
        <w:tcPr>
          <w:tcW w:w="359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31C5B" w:rsidRDefault="00631C5B">
          <w:pPr>
            <w:shd w:val="clear" w:color="auto" w:fill="FFFFFF"/>
            <w:rPr>
              <w:rFonts w:cs="Times New Roman"/>
              <w:szCs w:val="24"/>
            </w:rPr>
          </w:pPr>
          <w:r>
            <w:rPr>
              <w:rFonts w:cs="Times New Roman"/>
              <w:noProof/>
              <w:szCs w:val="24"/>
            </w:rPr>
            <w:t>Henkel Сев.и Южн.</w:t>
          </w:r>
          <w:r>
            <w:rPr>
              <w:rFonts w:cs="Times New Roman"/>
              <w:szCs w:val="24"/>
            </w:rPr>
            <w:t xml:space="preserve"> </w:t>
          </w:r>
          <w:r>
            <w:rPr>
              <w:rFonts w:cs="Times New Roman"/>
              <w:noProof/>
              <w:szCs w:val="24"/>
            </w:rPr>
            <w:t>Америка</w:t>
          </w:r>
        </w:p>
      </w:tc>
      <w:tc>
        <w:tcPr>
          <w:tcW w:w="359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31C5B" w:rsidRDefault="00631C5B">
          <w:pPr>
            <w:shd w:val="clear" w:color="auto" w:fill="FFFFFF"/>
            <w:jc w:val="center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  <w:lang w:val="en-US"/>
            </w:rPr>
            <w:t xml:space="preserve">Henkel </w:t>
          </w:r>
          <w:r>
            <w:rPr>
              <w:rFonts w:cs="Times New Roman"/>
              <w:noProof/>
              <w:szCs w:val="24"/>
            </w:rPr>
            <w:t>Европа</w:t>
          </w:r>
        </w:p>
      </w:tc>
      <w:tc>
        <w:tcPr>
          <w:tcW w:w="359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31C5B" w:rsidRDefault="00631C5B">
          <w:pPr>
            <w:shd w:val="clear" w:color="auto" w:fill="FFFFFF"/>
            <w:jc w:val="right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  <w:lang w:val="en-US"/>
            </w:rPr>
            <w:t xml:space="preserve">Henkel </w:t>
          </w:r>
          <w:r>
            <w:rPr>
              <w:rFonts w:cs="Times New Roman"/>
              <w:noProof/>
              <w:szCs w:val="24"/>
            </w:rPr>
            <w:t>АТР</w:t>
          </w:r>
        </w:p>
      </w:tc>
    </w:tr>
    <w:tr w:rsidR="00631C5B">
      <w:tc>
        <w:tcPr>
          <w:tcW w:w="359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31C5B" w:rsidRDefault="00631C5B">
          <w:pPr>
            <w:shd w:val="clear" w:color="auto" w:fill="FFFFFF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  <w:lang w:val="en-US"/>
            </w:rPr>
            <w:t>+860.571.5100</w:t>
          </w:r>
        </w:p>
      </w:tc>
      <w:tc>
        <w:tcPr>
          <w:tcW w:w="359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31C5B" w:rsidRDefault="00631C5B">
          <w:pPr>
            <w:shd w:val="clear" w:color="auto" w:fill="FFFFFF"/>
            <w:jc w:val="center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  <w:lang w:val="en-US"/>
            </w:rPr>
            <w:t>+49.89.320800.1800</w:t>
          </w:r>
        </w:p>
      </w:tc>
      <w:tc>
        <w:tcPr>
          <w:tcW w:w="359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31C5B" w:rsidRDefault="00631C5B">
          <w:pPr>
            <w:shd w:val="clear" w:color="auto" w:fill="FFFFFF"/>
            <w:jc w:val="right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  <w:lang w:val="en-US"/>
            </w:rPr>
            <w:t>+86.21.2891.8863</w:t>
          </w:r>
        </w:p>
      </w:tc>
    </w:tr>
  </w:tbl>
  <w:p w:rsidR="00631C5B" w:rsidRDefault="00631C5B">
    <w:pPr>
      <w:shd w:val="clear" w:color="auto" w:fill="FFFFFF"/>
      <w:spacing w:before="120"/>
      <w:jc w:val="center"/>
      <w:rPr>
        <w:rFonts w:ascii="Arial Narrow" w:hAnsi="Arial Narrow" w:cs="Times New Roman"/>
        <w:b/>
        <w:sz w:val="16"/>
        <w:szCs w:val="24"/>
      </w:rPr>
    </w:pPr>
    <w:r>
      <w:rPr>
        <w:rFonts w:cs="Times New Roman"/>
        <w:b/>
        <w:noProof/>
        <w:szCs w:val="24"/>
      </w:rPr>
      <w:t>Для информации о прямом доступе к местным сайтам и службам технической поддержки см. сайт:</w:t>
    </w:r>
    <w:r>
      <w:rPr>
        <w:rFonts w:cs="Times New Roman"/>
        <w:b/>
        <w:szCs w:val="24"/>
      </w:rPr>
      <w:t xml:space="preserve"> </w:t>
    </w:r>
    <w:hyperlink r:id="rId1" w:history="1">
      <w:r>
        <w:rPr>
          <w:rFonts w:cs="Times New Roman"/>
          <w:b/>
          <w:szCs w:val="24"/>
          <w:u w:val="single"/>
          <w:lang w:val="en-US"/>
        </w:rPr>
        <w:t>www</w:t>
      </w:r>
      <w:r>
        <w:rPr>
          <w:rFonts w:cs="Times New Roman"/>
          <w:b/>
          <w:noProof/>
          <w:szCs w:val="24"/>
          <w:u w:val="single"/>
        </w:rPr>
        <w:t>.</w:t>
      </w:r>
      <w:r>
        <w:rPr>
          <w:rFonts w:cs="Times New Roman"/>
          <w:b/>
          <w:szCs w:val="24"/>
          <w:u w:val="single"/>
          <w:lang w:val="en-US"/>
        </w:rPr>
        <w:t>henkel</w:t>
      </w:r>
      <w:r>
        <w:rPr>
          <w:rFonts w:cs="Times New Roman"/>
          <w:b/>
          <w:noProof/>
          <w:szCs w:val="24"/>
          <w:u w:val="single"/>
        </w:rPr>
        <w:t>.</w:t>
      </w:r>
      <w:r>
        <w:rPr>
          <w:rFonts w:cs="Times New Roman"/>
          <w:b/>
          <w:szCs w:val="24"/>
          <w:u w:val="single"/>
          <w:lang w:val="en-US"/>
        </w:rPr>
        <w:t>com</w:t>
      </w:r>
      <w:r>
        <w:rPr>
          <w:rFonts w:cs="Times New Roman"/>
          <w:b/>
          <w:noProof/>
          <w:szCs w:val="24"/>
          <w:u w:val="single"/>
        </w:rPr>
        <w:t>/</w:t>
      </w:r>
      <w:r>
        <w:rPr>
          <w:rFonts w:cs="Times New Roman"/>
          <w:b/>
          <w:szCs w:val="24"/>
          <w:u w:val="single"/>
          <w:lang w:val="en-US"/>
        </w:rPr>
        <w:t>industrial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C5B" w:rsidRDefault="00115CE3" w:rsidP="0005501D">
    <w:pPr>
      <w:pStyle w:val="a4"/>
      <w:pBdr>
        <w:top w:val="single" w:sz="4" w:space="2" w:color="000000"/>
      </w:pBdr>
      <w:jc w:val="right"/>
      <w:rPr>
        <w:rFonts w:cs="Times New Roman"/>
        <w:szCs w:val="24"/>
        <w:lang w:val="en-US"/>
      </w:rPr>
    </w:pPr>
    <w:r>
      <w:rPr>
        <w:rFonts w:cs="Times New Roman"/>
        <w:noProof/>
        <w:szCs w:val="24"/>
      </w:rPr>
      <w:drawing>
        <wp:inline distT="0" distB="0" distL="0" distR="0">
          <wp:extent cx="602615" cy="332740"/>
          <wp:effectExtent l="19050" t="0" r="698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332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29" w:rsidRDefault="001E6329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1E6329" w:rsidRDefault="001E6329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C5B" w:rsidRDefault="00631C5B">
    <w:pPr>
      <w:pStyle w:val="a3"/>
      <w:pBdr>
        <w:bottom w:val="single" w:sz="8" w:space="3" w:color="auto"/>
      </w:pBdr>
      <w:spacing w:before="60" w:after="120"/>
      <w:jc w:val="right"/>
      <w:rPr>
        <w:rFonts w:cs="Times New Roman"/>
        <w:szCs w:val="24"/>
        <w:lang w:val="en-US"/>
      </w:rPr>
    </w:pPr>
    <w:r>
      <w:rPr>
        <w:rFonts w:cs="Times New Roman"/>
        <w:noProof/>
        <w:szCs w:val="24"/>
        <w:lang w:val="en-US"/>
      </w:rPr>
      <w:t>TDS LOCTITE</w:t>
    </w:r>
    <w:r w:rsidR="005E2E23" w:rsidRPr="005E2E23">
      <w:rPr>
        <w:rFonts w:cs="Times New Roman"/>
        <w:noProof/>
        <w:szCs w:val="24"/>
        <w:vertAlign w:val="superscript"/>
        <w:lang w:val="en-US"/>
      </w:rPr>
      <w:t>®</w:t>
    </w:r>
    <w:r>
      <w:rPr>
        <w:rFonts w:cs="Times New Roman"/>
        <w:noProof/>
        <w:szCs w:val="24"/>
        <w:lang w:val="en-US"/>
      </w:rPr>
      <w:t xml:space="preserve"> 7012™, September 2010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5501D"/>
    <w:rsid w:val="0005501D"/>
    <w:rsid w:val="00115CE3"/>
    <w:rsid w:val="0015339E"/>
    <w:rsid w:val="001E6329"/>
    <w:rsid w:val="00272EDB"/>
    <w:rsid w:val="00344919"/>
    <w:rsid w:val="005E2E23"/>
    <w:rsid w:val="00631C5B"/>
    <w:rsid w:val="0078186D"/>
    <w:rsid w:val="00846747"/>
    <w:rsid w:val="008C464A"/>
    <w:rsid w:val="00BE6EF0"/>
    <w:rsid w:val="00E223C1"/>
    <w:rsid w:val="00F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B510ED-2F72-4398-AA96-EF7B8A14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jc w:val="both"/>
    </w:pPr>
    <w:rPr>
      <w:rFonts w:ascii="Arial" w:hAnsi="Arial" w:cs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Style2">
    <w:name w:val="Style2"/>
    <w:basedOn w:val="a"/>
    <w:rsid w:val="0005501D"/>
    <w:pPr>
      <w:keepNext/>
      <w:shd w:val="clear" w:color="auto" w:fill="FFFFFF"/>
      <w:spacing w:before="240"/>
    </w:pPr>
    <w:rPr>
      <w:b/>
      <w:bCs/>
      <w:szCs w:val="16"/>
      <w:lang w:val="en-US"/>
    </w:rPr>
  </w:style>
  <w:style w:type="paragraph" w:customStyle="1" w:styleId="Style1">
    <w:name w:val="Style1"/>
    <w:basedOn w:val="a"/>
    <w:rsid w:val="0005501D"/>
    <w:pPr>
      <w:shd w:val="clear" w:color="auto" w:fill="FFFFFF"/>
      <w:spacing w:after="40" w:line="228" w:lineRule="auto"/>
    </w:pPr>
    <w:rPr>
      <w:szCs w:val="18"/>
      <w:lang w:val="en-US"/>
    </w:rPr>
  </w:style>
  <w:style w:type="paragraph" w:customStyle="1" w:styleId="Style3">
    <w:name w:val="Style3"/>
    <w:basedOn w:val="Style2"/>
    <w:pPr>
      <w:spacing w:before="600"/>
    </w:pPr>
  </w:style>
  <w:style w:type="paragraph" w:customStyle="1" w:styleId="Style4">
    <w:name w:val="Style4"/>
    <w:basedOn w:val="a"/>
    <w:pPr>
      <w:shd w:val="clear" w:color="auto" w:fill="FFFFFF"/>
      <w:spacing w:after="40"/>
      <w:ind w:left="475" w:hanging="288"/>
    </w:pPr>
    <w:rPr>
      <w:szCs w:val="18"/>
      <w:lang w:val="en-US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customStyle="1" w:styleId="Style8">
    <w:name w:val="Style8"/>
    <w:basedOn w:val="Style1"/>
    <w:pPr>
      <w:spacing w:before="180"/>
    </w:pPr>
  </w:style>
  <w:style w:type="paragraph" w:customStyle="1" w:styleId="Style5">
    <w:name w:val="Style5"/>
    <w:basedOn w:val="Style4"/>
    <w:pPr>
      <w:spacing w:after="20"/>
      <w:ind w:left="763"/>
    </w:pPr>
  </w:style>
  <w:style w:type="paragraph" w:customStyle="1" w:styleId="Style6">
    <w:name w:val="Style6"/>
    <w:basedOn w:val="Style4"/>
    <w:pPr>
      <w:spacing w:before="60"/>
    </w:pPr>
  </w:style>
  <w:style w:type="paragraph" w:styleId="a5">
    <w:name w:val="Balloon Text"/>
    <w:basedOn w:val="a"/>
    <w:link w:val="a6"/>
    <w:rsid w:val="008467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46747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BE6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rubinis.com.ua/aktivatory-prajmery-ochistiteli/loctite-7012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nkel.com/industri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Data Sheet</vt:lpstr>
    </vt:vector>
  </TitlesOfParts>
  <Company/>
  <LinksUpToDate>false</LinksUpToDate>
  <CharactersWithSpaces>5313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http://www.henkel.com/industrial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Data Sheet</dc:title>
  <dc:creator>Martynenko Elena</dc:creator>
  <cp:lastModifiedBy>Misha</cp:lastModifiedBy>
  <cp:revision>5</cp:revision>
  <dcterms:created xsi:type="dcterms:W3CDTF">2014-08-11T09:12:00Z</dcterms:created>
  <dcterms:modified xsi:type="dcterms:W3CDTF">2015-01-20T12:23:00Z</dcterms:modified>
</cp:coreProperties>
</file>